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0"/>
        <w:jc w:val="center"/>
        <w:rPr>
          <w:rFonts w:ascii="Cambria" w:hAnsi="Cambria" w:eastAsia="Calibri"/>
          <w:sz w:val="48"/>
          <w:szCs w:val="20"/>
          <w:lang w:eastAsia="cs-CZ"/>
        </w:rPr>
      </w:pPr>
      <w:r>
        <w:rPr>
          <w:rFonts w:eastAsia="Calibri" w:ascii="Cambria" w:hAnsi="Cambria"/>
          <w:b/>
          <w:sz w:val="48"/>
          <w:szCs w:val="20"/>
          <w:lang w:eastAsia="cs-CZ"/>
        </w:rPr>
        <w:t>P L N Á   M O C</w:t>
      </w:r>
    </w:p>
    <w:p>
      <w:pPr>
        <w:pStyle w:val="Normal"/>
        <w:spacing w:before="0" w:after="0"/>
        <w:jc w:val="center"/>
        <w:rPr>
          <w:rFonts w:ascii="Cambria" w:hAnsi="Cambria" w:eastAsia="Calibri"/>
          <w:szCs w:val="20"/>
          <w:lang w:eastAsia="cs-CZ"/>
        </w:rPr>
      </w:pPr>
      <w:r>
        <w:rPr>
          <w:rFonts w:eastAsia="Calibri" w:ascii="Cambria" w:hAnsi="Cambria"/>
          <w:szCs w:val="20"/>
          <w:lang w:eastAsia="cs-CZ"/>
        </w:rPr>
      </w:r>
    </w:p>
    <w:p>
      <w:pPr>
        <w:pStyle w:val="Normal"/>
        <w:spacing w:before="0" w:after="0"/>
        <w:jc w:val="center"/>
        <w:rPr>
          <w:rFonts w:ascii="Cambria" w:hAnsi="Cambria"/>
        </w:rPr>
      </w:pPr>
      <w:r>
        <w:rPr>
          <w:rFonts w:ascii="Cambria" w:hAnsi="Cambria"/>
        </w:rPr>
        <w:t>jméno:</w:t>
      </w:r>
    </w:p>
    <w:p>
      <w:pPr>
        <w:pStyle w:val="Normal"/>
        <w:spacing w:before="0"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dat. </w:t>
      </w:r>
      <w:r>
        <w:rPr>
          <w:rFonts w:ascii="Cambria" w:hAnsi="Cambria"/>
        </w:rPr>
        <w:t>n</w:t>
      </w:r>
      <w:r>
        <w:rPr>
          <w:rFonts w:ascii="Cambria" w:hAnsi="Cambria"/>
        </w:rPr>
        <w:t>ar.:</w:t>
      </w:r>
    </w:p>
    <w:p>
      <w:pPr>
        <w:pStyle w:val="Normal"/>
        <w:spacing w:before="0" w:after="0"/>
        <w:jc w:val="center"/>
        <w:rPr>
          <w:rStyle w:val="Platne"/>
          <w:rFonts w:ascii="Cambria" w:hAnsi="Cambria"/>
        </w:rPr>
      </w:pPr>
      <w:r>
        <w:rPr>
          <w:rFonts w:ascii="Cambria" w:hAnsi="Cambria"/>
        </w:rPr>
        <w:t xml:space="preserve">trvale bytem: </w:t>
      </w:r>
    </w:p>
    <w:p>
      <w:pPr>
        <w:pStyle w:val="Normal"/>
        <w:spacing w:before="0" w:after="0"/>
        <w:jc w:val="center"/>
        <w:rPr>
          <w:rFonts w:ascii="Cambria" w:hAnsi="Cambria" w:eastAsia="Calibri"/>
          <w:szCs w:val="20"/>
          <w:lang w:eastAsia="cs-CZ"/>
        </w:rPr>
      </w:pPr>
      <w:r>
        <w:rPr>
          <w:rFonts w:eastAsia="Calibri" w:ascii="Cambria" w:hAnsi="Cambria"/>
          <w:szCs w:val="20"/>
          <w:lang w:eastAsia="cs-CZ"/>
        </w:rPr>
        <w:t>(dále jen „</w:t>
      </w:r>
      <w:r>
        <w:rPr>
          <w:rFonts w:eastAsia="Calibri" w:ascii="Cambria" w:hAnsi="Cambria"/>
          <w:b/>
          <w:szCs w:val="20"/>
          <w:lang w:eastAsia="cs-CZ"/>
        </w:rPr>
        <w:t>zmocnitel</w:t>
      </w:r>
      <w:r>
        <w:rPr>
          <w:rFonts w:eastAsia="Calibri" w:ascii="Cambria" w:hAnsi="Cambria"/>
          <w:szCs w:val="20"/>
          <w:lang w:eastAsia="cs-CZ"/>
        </w:rPr>
        <w:t>“)</w:t>
      </w:r>
    </w:p>
    <w:p>
      <w:pPr>
        <w:pStyle w:val="Normal"/>
        <w:spacing w:before="0" w:after="0"/>
        <w:jc w:val="center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</w:r>
    </w:p>
    <w:p>
      <w:pPr>
        <w:pStyle w:val="Normal"/>
        <w:spacing w:before="0" w:after="0"/>
        <w:jc w:val="center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 xml:space="preserve">zmocňuje tímto </w:t>
      </w:r>
    </w:p>
    <w:p>
      <w:pPr>
        <w:pStyle w:val="Normal"/>
        <w:spacing w:before="0" w:after="0"/>
        <w:jc w:val="center"/>
        <w:rPr>
          <w:rFonts w:ascii="Cambria" w:hAnsi="Cambria" w:eastAsia="Times New Roman"/>
          <w:b/>
          <w:szCs w:val="20"/>
          <w:lang w:eastAsia="cs-CZ"/>
        </w:rPr>
      </w:pPr>
      <w:r>
        <w:rPr>
          <w:rFonts w:eastAsia="Times New Roman" w:ascii="Cambria" w:hAnsi="Cambria"/>
          <w:b/>
          <w:szCs w:val="20"/>
          <w:lang w:eastAsia="cs-CZ"/>
        </w:rPr>
      </w:r>
    </w:p>
    <w:p>
      <w:pPr>
        <w:pStyle w:val="Normal"/>
        <w:spacing w:before="0" w:after="0"/>
        <w:jc w:val="center"/>
        <w:rPr>
          <w:rFonts w:ascii="Cambria" w:hAnsi="Cambria" w:eastAsia="Times New Roman"/>
          <w:b/>
          <w:bCs/>
          <w:szCs w:val="20"/>
          <w:lang w:eastAsia="cs-CZ"/>
        </w:rPr>
      </w:pPr>
      <w:r>
        <w:rPr>
          <w:rFonts w:eastAsia="Times New Roman" w:ascii="Cambria" w:hAnsi="Cambria"/>
          <w:b/>
          <w:bCs/>
          <w:szCs w:val="20"/>
          <w:lang w:eastAsia="cs-CZ"/>
        </w:rPr>
        <w:t>Petr Mildner</w:t>
      </w:r>
    </w:p>
    <w:p>
      <w:pPr>
        <w:pStyle w:val="Normal"/>
        <w:spacing w:before="0" w:after="0"/>
        <w:jc w:val="center"/>
        <w:rPr>
          <w:rFonts w:ascii="Cambria" w:hAnsi="Cambria" w:eastAsia="Times New Roman"/>
          <w:bCs/>
          <w:szCs w:val="20"/>
          <w:lang w:eastAsia="cs-CZ"/>
        </w:rPr>
      </w:pPr>
      <w:r>
        <w:rPr>
          <w:rFonts w:eastAsia="Times New Roman" w:ascii="Cambria" w:hAnsi="Cambria"/>
          <w:bCs/>
          <w:szCs w:val="20"/>
          <w:lang w:eastAsia="cs-CZ"/>
        </w:rPr>
        <w:t>dat. Nar. 22.10.1971</w:t>
      </w:r>
    </w:p>
    <w:p>
      <w:pPr>
        <w:pStyle w:val="Normal"/>
        <w:spacing w:before="0" w:after="0"/>
        <w:jc w:val="center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trvale bytem Baarova 1574, 440 01, Louny</w:t>
      </w:r>
    </w:p>
    <w:p>
      <w:pPr>
        <w:pStyle w:val="Normal"/>
        <w:spacing w:before="0" w:after="0"/>
        <w:jc w:val="center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(dále jen jako „</w:t>
      </w:r>
      <w:r>
        <w:rPr>
          <w:rFonts w:eastAsia="Times New Roman" w:ascii="Cambria" w:hAnsi="Cambria"/>
          <w:b/>
          <w:szCs w:val="20"/>
          <w:lang w:eastAsia="cs-CZ"/>
        </w:rPr>
        <w:t>zmocněnec</w:t>
      </w:r>
      <w:r>
        <w:rPr>
          <w:rFonts w:eastAsia="Times New Roman" w:ascii="Cambria" w:hAnsi="Cambria"/>
          <w:szCs w:val="20"/>
          <w:lang w:eastAsia="cs-CZ"/>
        </w:rPr>
        <w:t>“)</w:t>
      </w:r>
    </w:p>
    <w:p>
      <w:pPr>
        <w:pStyle w:val="Normal"/>
        <w:spacing w:lineRule="auto" w:line="240" w:before="120" w:after="0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</w:r>
    </w:p>
    <w:p>
      <w:pPr>
        <w:pStyle w:val="Normal"/>
        <w:spacing w:lineRule="auto" w:line="240" w:before="120" w:after="0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b/>
          <w:bCs/>
          <w:szCs w:val="20"/>
          <w:lang w:eastAsia="cs-CZ"/>
        </w:rPr>
        <w:t>k zastupování zmocnitele jakožto věřitele společnosti</w:t>
      </w:r>
      <w:r>
        <w:rPr>
          <w:rFonts w:eastAsia="Times New Roman" w:ascii="Cambria" w:hAnsi="Cambria"/>
          <w:szCs w:val="20"/>
          <w:lang w:eastAsia="cs-CZ"/>
        </w:rPr>
        <w:t xml:space="preserve"> </w:t>
      </w:r>
      <w:r>
        <w:rPr>
          <w:rFonts w:eastAsia="Times New Roman" w:ascii="Cambria" w:hAnsi="Cambria"/>
          <w:b/>
          <w:bCs/>
          <w:szCs w:val="20"/>
          <w:lang w:eastAsia="cs-CZ"/>
        </w:rPr>
        <w:t>Energetický Holding Malina a.s.</w:t>
      </w:r>
      <w:r>
        <w:rPr>
          <w:rFonts w:eastAsia="Times New Roman" w:ascii="Cambria" w:hAnsi="Cambria"/>
          <w:szCs w:val="20"/>
          <w:lang w:eastAsia="cs-CZ"/>
        </w:rPr>
        <w:t>, IČO: 10931201, se sídlem 10931201 (dále jen jako „</w:t>
      </w:r>
      <w:r>
        <w:rPr>
          <w:rFonts w:eastAsia="Times New Roman" w:ascii="Cambria" w:hAnsi="Cambria"/>
          <w:b/>
          <w:bCs/>
          <w:szCs w:val="20"/>
          <w:lang w:eastAsia="cs-CZ"/>
        </w:rPr>
        <w:t>Dlužník</w:t>
      </w:r>
      <w:r>
        <w:rPr>
          <w:rFonts w:eastAsia="Times New Roman" w:ascii="Cambria" w:hAnsi="Cambria"/>
          <w:szCs w:val="20"/>
          <w:lang w:eastAsia="cs-CZ"/>
        </w:rPr>
        <w:t xml:space="preserve">“), s přihláškou pohledávky </w:t>
        <w:br/>
        <w:t xml:space="preserve">č. </w:t>
      </w:r>
      <w:r>
        <w:rPr>
          <w:rFonts w:eastAsia="Times New Roman" w:ascii="Cambria" w:hAnsi="Cambria"/>
          <w:szCs w:val="20"/>
          <w:lang w:eastAsia="cs-CZ"/>
        </w:rPr>
        <w:t>_________________</w:t>
      </w:r>
      <w:r>
        <w:rPr>
          <w:rFonts w:eastAsia="Times New Roman" w:ascii="Cambria" w:hAnsi="Cambria"/>
          <w:szCs w:val="20"/>
          <w:lang w:eastAsia="cs-CZ"/>
        </w:rPr>
        <w:t xml:space="preserve">, číslo věřitele </w:t>
      </w:r>
      <w:r>
        <w:rPr>
          <w:rFonts w:eastAsia="Times New Roman" w:ascii="Cambria" w:hAnsi="Cambria"/>
          <w:szCs w:val="20"/>
          <w:lang w:eastAsia="cs-CZ"/>
        </w:rPr>
        <w:t>_________________</w:t>
      </w:r>
      <w:r>
        <w:rPr>
          <w:rFonts w:eastAsia="Times New Roman" w:ascii="Cambria" w:hAnsi="Cambria"/>
          <w:szCs w:val="20"/>
          <w:lang w:eastAsia="cs-CZ"/>
        </w:rPr>
        <w:t xml:space="preserve">, a to </w:t>
      </w:r>
      <w:r>
        <w:rPr>
          <w:rFonts w:eastAsia="Times New Roman" w:ascii="Cambria" w:hAnsi="Cambria"/>
          <w:b/>
          <w:bCs/>
          <w:szCs w:val="20"/>
          <w:lang w:eastAsia="cs-CZ"/>
        </w:rPr>
        <w:t>na schůzi věřitelů konané ve věci Dlužníka</w:t>
      </w:r>
      <w:r>
        <w:rPr>
          <w:rFonts w:eastAsia="Times New Roman" w:ascii="Cambria" w:hAnsi="Cambria"/>
          <w:szCs w:val="20"/>
          <w:lang w:eastAsia="cs-CZ"/>
        </w:rPr>
        <w:t xml:space="preserve"> v insolvenčním řízení sp.zn. MSPH 79 INS 7166 / 2023 u Městského soudu v Praze </w:t>
      </w:r>
      <w:r>
        <w:rPr>
          <w:rFonts w:eastAsia="Times New Roman" w:ascii="Cambria" w:hAnsi="Cambria"/>
          <w:b/>
          <w:bCs/>
          <w:szCs w:val="20"/>
          <w:lang w:eastAsia="cs-CZ"/>
        </w:rPr>
        <w:t>dne 3. 12. 2024</w:t>
      </w:r>
      <w:r>
        <w:rPr>
          <w:rFonts w:eastAsia="Times New Roman" w:ascii="Cambria" w:hAnsi="Cambria"/>
          <w:szCs w:val="20"/>
          <w:lang w:eastAsia="cs-CZ"/>
        </w:rPr>
        <w:t xml:space="preserve"> v 10:00 hodin, č. dv. 152, v I. patře budovy Městského soudu v Praze, pracoviště Slezská, Slezská 9, Praha 2, s následujícím programem schůze: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doplňující volba členů a event. náhradníků věřitelského výboru do počtu stanoveného schůzí věřitelů (4 členové zvoleného věřitelského výboru byli soudem pravomocně z funkce odvoláni);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možné hlasování o odvolání dosavadních (t.j. soudem neodvolaných) členů věřitelského výnoru;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možné hlasování o (jiném) počtu členů věřitelského výboru a volba členů věřitelského výboru do nově určeného počtu členů výboru;</w:t>
      </w:r>
    </w:p>
    <w:p>
      <w:pPr>
        <w:pStyle w:val="ListParagraph"/>
        <w:spacing w:lineRule="auto" w:line="240" w:before="120" w:after="0"/>
        <w:contextualSpacing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</w:r>
    </w:p>
    <w:p>
      <w:pPr>
        <w:pStyle w:val="ListParagraph"/>
        <w:spacing w:lineRule="auto" w:line="240" w:before="120" w:after="0"/>
        <w:contextualSpacing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>Na program schůze věřitelů jsou zařazeny i body programu, které byly navrženy insolvenčním správcem v jeho návrhu na svolání schůze věřitelů ze dne 9. 9. 2024 (B-1034).</w:t>
      </w:r>
    </w:p>
    <w:p>
      <w:pPr>
        <w:pStyle w:val="Normal"/>
        <w:spacing w:lineRule="auto" w:line="240" w:before="120" w:after="0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</w:r>
    </w:p>
    <w:p>
      <w:pPr>
        <w:pStyle w:val="Normal"/>
        <w:spacing w:lineRule="auto" w:line="240" w:before="120" w:after="0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  <w:t xml:space="preserve">Zmocněnec je oprávněn zmocnitele zastupovat na shora uvedené schůzi věřitelů ve </w:t>
      </w:r>
      <w:r>
        <w:rPr>
          <w:rFonts w:ascii="Cambria" w:hAnsi="Cambria"/>
        </w:rPr>
        <w:t>všech věcech s výše uvedeným spojených, na uvedené schůzi za zmocnitele hlasovat, jakož i ke všem dalším úkonům a jednáním s výše uvedeným souvisejícím.</w:t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0"/>
          <w:lang w:eastAsia="cs-CZ"/>
        </w:rPr>
      </w:pPr>
      <w:r>
        <w:rPr>
          <w:rFonts w:eastAsia="Times New Roman" w:ascii="Cambria" w:hAnsi="Cambria"/>
          <w:szCs w:val="20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/>
          <w:lang w:eastAsia="cs-CZ"/>
        </w:rPr>
      </w:pPr>
      <w:r>
        <w:rPr>
          <w:rFonts w:eastAsia="Times New Roman" w:ascii="Cambria" w:hAnsi="Cambria"/>
          <w:lang w:eastAsia="cs-CZ"/>
        </w:rPr>
        <w:t>V ___________ dne ___________</w:t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  <w:t>_____________________________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libri"/>
          <w:b/>
          <w:szCs w:val="20"/>
          <w:lang w:eastAsia="cs-CZ"/>
        </w:rPr>
      </w:pPr>
      <w:r>
        <w:rPr>
          <w:rFonts w:ascii="Cambria" w:hAnsi="Cambria"/>
        </w:rPr>
        <w:t>jméno</w:t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  <w:t>Zmocnění ve výše uvedeném rozsahu přijímám:</w:t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/>
          <w:szCs w:val="24"/>
          <w:lang w:eastAsia="cs-CZ"/>
        </w:rPr>
      </w:pPr>
      <w:r>
        <w:rPr>
          <w:rFonts w:eastAsia="Times New Roman" w:ascii="Cambria" w:hAnsi="Cambria"/>
          <w:szCs w:val="24"/>
          <w:lang w:eastAsia="cs-CZ"/>
        </w:rPr>
        <w:t>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</w:rPr>
      </w:pPr>
      <w:r>
        <w:rPr>
          <w:rFonts w:ascii="Cambria" w:hAnsi="Cambria"/>
        </w:rPr>
        <w:t>Petr Mildner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1611520"/>
    </w:sdtPr>
    <w:sdtContent>
      <w:p>
        <w:pPr>
          <w:pStyle w:val="Footer"/>
          <w:jc w:val="center"/>
          <w:rPr>
            <w:sz w:val="18"/>
          </w:rPr>
        </w:pPr>
        <w:r>
          <w:rPr>
            <w:sz w:val="18"/>
          </w:rPr>
          <w:fldChar w:fldCharType="begin"/>
        </w:r>
        <w:r>
          <w:rPr>
            <w:sz w:val="18"/>
          </w:rPr>
          <w:instrText xml:space="preserve"> PAGE </w:instrText>
        </w:r>
        <w:r>
          <w:rPr>
            <w:sz w:val="18"/>
          </w:rPr>
          <w:fldChar w:fldCharType="separate"/>
        </w:r>
        <w:r>
          <w:rPr>
            <w:sz w:val="18"/>
          </w:rPr>
          <w:t>2</w:t>
        </w:r>
        <w:r>
          <w:rPr>
            <w:sz w:val="18"/>
          </w:rPr>
          <w:fldChar w:fldCharType="end"/>
        </w:r>
        <w:r>
          <w:rPr>
            <w:sz w:val="18"/>
          </w:rPr>
          <w:t xml:space="preserve"> </w:t>
        </w:r>
        <w:r>
          <w:rPr>
            <w:sz w:val="18"/>
          </w:rPr>
          <w:t xml:space="preserve">z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NUMPAGES </w:instrText>
        </w:r>
        <w:r>
          <w:rPr>
            <w:sz w:val="18"/>
          </w:rPr>
          <w:fldChar w:fldCharType="separate"/>
        </w:r>
        <w:r>
          <w:rPr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160" w:after="160"/>
      <w:jc w:val="both"/>
    </w:pPr>
    <w:rPr>
      <w:rFonts w:ascii="Arial" w:hAnsi="Arial" w:eastAsia="Calibri" w:cs="Arial" w:eastAsia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c2ed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fd4ab7"/>
    <w:rPr/>
  </w:style>
  <w:style w:type="character" w:styleId="ZpatChar" w:customStyle="1">
    <w:name w:val="Zápatí Char"/>
    <w:basedOn w:val="DefaultParagraphFont"/>
    <w:uiPriority w:val="99"/>
    <w:qFormat/>
    <w:rsid w:val="00fd4ab7"/>
    <w:rPr/>
  </w:style>
  <w:style w:type="character" w:styleId="Hyperlink">
    <w:name w:val="Hyperlink"/>
    <w:basedOn w:val="DefaultParagraphFont"/>
    <w:uiPriority w:val="99"/>
    <w:unhideWhenUsed/>
    <w:rsid w:val="00fd4ab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4ab7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611e8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DefaultParagraphFont"/>
    <w:uiPriority w:val="9"/>
    <w:qFormat/>
    <w:rsid w:val="003c2edf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Platne" w:customStyle="1">
    <w:name w:val="platne"/>
    <w:basedOn w:val="DefaultParagraphFont"/>
    <w:qFormat/>
    <w:rsid w:val="00993476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d4ab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fd4ab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611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e28"/>
    <w:pPr>
      <w:spacing w:before="16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f19e4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67B9-01C6-4FBF-956C-B06CDD10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Plná moc_FO_BPP.dotx</Template>
  <TotalTime>4226</TotalTime>
  <Application>LibreOffice/7.6.2.1$Windows_X86_64 LibreOffice_project/56f7684011345957bbf33a7ee678afaf4d2ba333</Application>
  <AppVersion>15.0000</AppVersion>
  <Pages>1</Pages>
  <Words>249</Words>
  <Characters>1434</Characters>
  <CharactersWithSpaces>1662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2024-11-22T13:53:00Z</dcterms:created>
  <dc:creator>Adam Buchta</dc:creator>
  <dc:description/>
  <dc:language>cs-CZ</dc:language>
  <cp:lastModifiedBy/>
  <cp:lastPrinted>2021-10-15T09:55:00Z</cp:lastPrinted>
  <dcterms:modified xsi:type="dcterms:W3CDTF">2024-11-27T16:26:48Z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